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after="200" w:line="400" w:lineRule="exact"/>
        <w:jc w:val="left"/>
        <w:rPr>
          <w:rFonts w:ascii="Times New Roman" w:hAnsi="Times New Roman" w:eastAsiaTheme="minorEastAsia"/>
          <w:sz w:val="24"/>
          <w:szCs w:val="32"/>
          <w:lang w:eastAsia="zh-CN"/>
        </w:rPr>
      </w:pPr>
      <w:bookmarkStart w:id="1" w:name="_GoBack"/>
      <w:bookmarkEnd w:id="1"/>
    </w:p>
    <w:p>
      <w:pPr>
        <w:pStyle w:val="6"/>
        <w:spacing w:after="200" w:line="400" w:lineRule="exact"/>
        <w:jc w:val="left"/>
        <w:rPr>
          <w:rFonts w:ascii="Times New Roman" w:hAnsi="Times New Roman" w:eastAsiaTheme="minorEastAsia"/>
          <w:sz w:val="24"/>
          <w:szCs w:val="32"/>
          <w:lang w:eastAsia="zh-CN"/>
        </w:rPr>
      </w:pPr>
      <w:r>
        <w:rPr>
          <w:rFonts w:hint="eastAsia" w:ascii="Times New Roman" w:hAnsi="Times New Roman"/>
          <w:sz w:val="24"/>
          <w:szCs w:val="32"/>
          <w:lang w:eastAsia="zh-TW"/>
        </w:rPr>
        <w:t>附件1、会议回执</w:t>
      </w:r>
    </w:p>
    <w:p>
      <w:pPr>
        <w:pStyle w:val="6"/>
        <w:spacing w:after="200" w:line="400" w:lineRule="exact"/>
        <w:rPr>
          <w:rFonts w:ascii="Times New Roman" w:hAnsi="Times New Roman" w:eastAsiaTheme="minorEastAsia"/>
          <w:sz w:val="24"/>
          <w:szCs w:val="32"/>
          <w:lang w:eastAsia="zh-CN"/>
        </w:rPr>
      </w:pPr>
      <w:r>
        <w:rPr>
          <w:rFonts w:hint="eastAsia" w:ascii="Times New Roman" w:hAnsi="Times New Roman" w:eastAsiaTheme="minorEastAsia"/>
          <w:sz w:val="24"/>
          <w:szCs w:val="32"/>
          <w:lang w:eastAsia="zh-CN"/>
        </w:rPr>
        <w:t>2018中国(上海)国际时尚家居用品展览会城市路演成都站参会回执</w:t>
      </w:r>
    </w:p>
    <w:tbl>
      <w:tblPr>
        <w:tblStyle w:val="10"/>
        <w:tblW w:w="8095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3"/>
        <w:gridCol w:w="992"/>
        <w:gridCol w:w="1134"/>
        <w:gridCol w:w="1701"/>
        <w:gridCol w:w="283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公司名称</w:t>
            </w:r>
          </w:p>
        </w:tc>
        <w:tc>
          <w:tcPr>
            <w:tcW w:w="666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职位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联系方式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</w:rPr>
              <w:t>是否出席晚宴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□是 □否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□是 □否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bookmarkStart w:id="0" w:name="RANGE!C6"/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  <w:bookmarkEnd w:id="0"/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□是 □否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□是 □否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□是 □否</w:t>
            </w:r>
          </w:p>
        </w:tc>
      </w:tr>
    </w:tbl>
    <w:p>
      <w:pPr>
        <w:spacing w:line="480" w:lineRule="exact"/>
        <w:ind w:right="-90" w:rightChars="-43" w:firstLine="570"/>
        <w:rPr>
          <w:rFonts w:ascii="仿宋_GB2312" w:hAnsi="仿宋" w:eastAsia="仿宋_GB2312" w:cs="Arial"/>
          <w:sz w:val="28"/>
          <w:szCs w:val="28"/>
        </w:rPr>
      </w:pPr>
    </w:p>
    <w:p>
      <w:pPr>
        <w:spacing w:line="480" w:lineRule="exact"/>
        <w:ind w:right="-90" w:rightChars="-43" w:firstLine="570"/>
        <w:rPr>
          <w:rFonts w:ascii="仿宋_GB2312" w:hAnsi="仿宋" w:eastAsia="仿宋_GB2312" w:cs="Arial"/>
          <w:sz w:val="28"/>
          <w:szCs w:val="28"/>
        </w:rPr>
      </w:pPr>
      <w:r>
        <w:rPr>
          <w:rFonts w:hint="eastAsia" w:ascii="仿宋_GB2312" w:hAnsi="仿宋" w:eastAsia="仿宋_GB2312" w:cs="Arial"/>
          <w:sz w:val="28"/>
          <w:szCs w:val="28"/>
        </w:rPr>
        <w:t>请于</w:t>
      </w:r>
      <w:r>
        <w:rPr>
          <w:rFonts w:hint="eastAsia" w:ascii="仿宋_GB2312" w:hAnsi="仿宋" w:eastAsia="仿宋_GB2312" w:cs="Arial"/>
          <w:color w:val="FF0000"/>
          <w:sz w:val="28"/>
          <w:szCs w:val="28"/>
        </w:rPr>
        <w:t>6月14日（周四）下午17：00</w:t>
      </w:r>
      <w:r>
        <w:rPr>
          <w:rFonts w:hint="eastAsia" w:ascii="仿宋_GB2312" w:hAnsi="仿宋" w:eastAsia="仿宋_GB2312" w:cs="Arial"/>
          <w:sz w:val="28"/>
          <w:szCs w:val="28"/>
        </w:rPr>
        <w:t>前回执到协会，谢谢！</w:t>
      </w:r>
    </w:p>
    <w:p/>
    <w:p>
      <w:pPr>
        <w:pStyle w:val="6"/>
        <w:spacing w:after="200" w:line="400" w:lineRule="exact"/>
        <w:jc w:val="left"/>
        <w:rPr>
          <w:rFonts w:ascii="Times New Roman" w:hAnsi="Times New Roman"/>
          <w:sz w:val="24"/>
          <w:szCs w:val="32"/>
          <w:lang w:eastAsia="zh-TW"/>
        </w:rPr>
      </w:pPr>
      <w:r>
        <w:rPr>
          <w:rFonts w:hint="eastAsia" w:ascii="Times New Roman" w:hAnsi="Times New Roman"/>
          <w:sz w:val="24"/>
          <w:szCs w:val="32"/>
          <w:lang w:eastAsia="zh-TW"/>
        </w:rPr>
        <w:t>附件2、活动嘉宾介绍及参会品牌介绍</w:t>
      </w:r>
    </w:p>
    <w:tbl>
      <w:tblPr>
        <w:tblStyle w:val="10"/>
        <w:tblW w:w="9229" w:type="dxa"/>
        <w:jc w:val="center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9"/>
        <w:gridCol w:w="3969"/>
        <w:gridCol w:w="255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0" w:hRule="atLeast"/>
          <w:jc w:val="center"/>
        </w:trPr>
        <w:tc>
          <w:tcPr>
            <w:tcW w:w="2709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8"/>
                <w:szCs w:val="28"/>
              </w:rPr>
              <w:t>2018全球家居潮流趋势发布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drawing>
                <wp:inline distT="0" distB="0" distL="0" distR="0">
                  <wp:extent cx="2187575" cy="3276600"/>
                  <wp:effectExtent l="19050" t="0" r="2703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928" cy="328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0" w:lineRule="atLeast"/>
              <w:jc w:val="center"/>
              <w:rPr>
                <w:rFonts w:ascii="冬青黑体简体中文 W6" w:hAnsi="冬青黑体简体中文 W6" w:eastAsia="冬青黑体简体中文 W6" w:cs="冬青黑体简体中文 W6"/>
                <w:lang w:val="zh-TW"/>
              </w:rPr>
            </w:pPr>
            <w:r>
              <w:rPr>
                <w:rFonts w:hint="eastAsia" w:eastAsia="冬青黑体简体中文 W6"/>
                <w:lang w:val="zh-TW" w:eastAsia="zh-TW"/>
              </w:rPr>
              <w:t>小绿酱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eastAsia="zh-TW"/>
              </w:rPr>
              <w:t>曾担任近10年家居设计、lifestyle类记者、编辑，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lang w:eastAsia="zh-TW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lang w:eastAsia="zh-TW"/>
              </w:rPr>
              <w:t>《VISTA看天下 优享生活Gainer&amp;STORY》杂志&amp;app&amp;订阅号 lifestyle内容内容总监。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lang w:eastAsia="zh-TW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lang w:eastAsia="zh-TW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lang w:eastAsia="zh-TW"/>
              </w:rPr>
              <w:t>现为lifestyle自由撰稿人</w:t>
            </w:r>
          </w:p>
        </w:tc>
      </w:tr>
    </w:tbl>
    <w:p/>
    <w:p>
      <w:pPr>
        <w:pStyle w:val="6"/>
        <w:spacing w:after="200" w:line="400" w:lineRule="exact"/>
        <w:jc w:val="left"/>
        <w:rPr>
          <w:rFonts w:ascii="Times New Roman" w:hAnsi="Times New Roman" w:eastAsiaTheme="minorEastAsia"/>
          <w:sz w:val="24"/>
          <w:szCs w:val="32"/>
          <w:lang w:eastAsia="zh-CN"/>
        </w:rPr>
      </w:pPr>
    </w:p>
    <w:p>
      <w:pPr>
        <w:pStyle w:val="6"/>
        <w:spacing w:after="200" w:line="400" w:lineRule="exact"/>
        <w:jc w:val="left"/>
        <w:rPr>
          <w:rFonts w:ascii="Times New Roman" w:hAnsi="Times New Roman" w:eastAsiaTheme="minorEastAsia"/>
          <w:sz w:val="24"/>
          <w:szCs w:val="32"/>
          <w:lang w:eastAsia="zh-CN"/>
        </w:rPr>
      </w:pPr>
      <w:r>
        <w:rPr>
          <w:rFonts w:hint="eastAsia" w:ascii="Times New Roman" w:hAnsi="Times New Roman"/>
          <w:sz w:val="24"/>
          <w:szCs w:val="32"/>
          <w:lang w:eastAsia="zh-TW"/>
        </w:rPr>
        <w:t>参会品牌介绍</w:t>
      </w:r>
      <w:r>
        <w:rPr>
          <w:rFonts w:hint="eastAsia" w:ascii="Times New Roman" w:hAnsi="Times New Roman" w:eastAsiaTheme="minorEastAsia"/>
          <w:sz w:val="24"/>
          <w:szCs w:val="32"/>
          <w:lang w:eastAsia="zh-CN"/>
        </w:rPr>
        <w:t>：</w:t>
      </w:r>
    </w:p>
    <w:p>
      <w:pPr>
        <w:pStyle w:val="20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162425" cy="762000"/>
            <wp:effectExtent l="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rPr>
          <w:rFonts w:ascii="微软雅黑" w:hAnsi="微软雅黑" w:eastAsia="微软雅黑"/>
          <w:b/>
        </w:rPr>
      </w:pPr>
    </w:p>
    <w:p>
      <w:pPr>
        <w:pStyle w:val="20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Ekornes</w:t>
      </w:r>
    </w:p>
    <w:p>
      <w:pPr>
        <w:pStyle w:val="20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依考那依考那无论在挪威或国际市场上，都是居家家具供应商领导品牌。依考那依考那于不论在国内或国际家用家具与床垫市场上，皆为最知名的一流供应商品牌。</w:t>
      </w:r>
    </w:p>
    <w:p>
      <w:pPr>
        <w:pStyle w:val="20"/>
        <w:jc w:val="center"/>
        <w:rPr>
          <w:rFonts w:ascii="微软雅黑" w:hAnsi="微软雅黑" w:eastAsia="微软雅黑"/>
        </w:rPr>
      </w:pPr>
    </w:p>
    <w:p>
      <w:pPr>
        <w:pStyle w:val="20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324350" cy="56388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rPr>
          <w:rFonts w:ascii="微软雅黑" w:hAnsi="微软雅黑" w:eastAsia="微软雅黑"/>
          <w:b/>
        </w:rPr>
      </w:pPr>
    </w:p>
    <w:p>
      <w:pPr>
        <w:pStyle w:val="20"/>
        <w:jc w:val="center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5274310" cy="21361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K</w:t>
      </w:r>
      <w:r>
        <w:rPr>
          <w:rFonts w:hint="eastAsia" w:ascii="微软雅黑" w:hAnsi="微软雅黑" w:eastAsia="微软雅黑"/>
          <w:b/>
        </w:rPr>
        <w:t>eiki kids 童真贸易</w:t>
      </w:r>
    </w:p>
    <w:p>
      <w:pPr>
        <w:pStyle w:val="20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</w:rPr>
        <w:t>是一家中高端从婴幼儿到成人的国际品牌总代理公司，为所有消费者带来时尚、实用、高品质的产品。携带的品牌有：Modern-twist，Modern-twist mini，Lifefactory，S</w:t>
      </w:r>
      <w:r>
        <w:rPr>
          <w:rFonts w:ascii="微软雅黑" w:hAnsi="微软雅黑" w:eastAsia="微软雅黑"/>
        </w:rPr>
        <w:t>’</w:t>
      </w:r>
      <w:r>
        <w:rPr>
          <w:rFonts w:hint="eastAsia" w:ascii="微软雅黑" w:hAnsi="微软雅黑" w:eastAsia="微软雅黑"/>
        </w:rPr>
        <w:t>well等。</w:t>
      </w:r>
    </w:p>
    <w:p>
      <w:pPr>
        <w:pStyle w:val="20"/>
        <w:rPr>
          <w:rFonts w:ascii="微软雅黑" w:hAnsi="微软雅黑" w:eastAsia="微软雅黑"/>
          <w:b/>
        </w:rPr>
      </w:pPr>
    </w:p>
    <w:p>
      <w:pPr>
        <w:pStyle w:val="20"/>
        <w:rPr>
          <w:rFonts w:ascii="微软雅黑" w:hAnsi="微软雅黑" w:eastAsia="微软雅黑"/>
          <w:b/>
        </w:rPr>
      </w:pPr>
    </w:p>
    <w:p>
      <w:pPr>
        <w:pStyle w:val="20"/>
        <w:jc w:val="center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5251450" cy="3743325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765" cy="377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</w:rPr>
        <w:tab/>
      </w:r>
    </w:p>
    <w:p>
      <w:pPr>
        <w:pStyle w:val="20"/>
        <w:rPr>
          <w:rFonts w:ascii="微软雅黑" w:hAnsi="微软雅黑" w:eastAsia="微软雅黑"/>
          <w:b/>
        </w:rPr>
      </w:pPr>
    </w:p>
    <w:p>
      <w:pPr>
        <w:pStyle w:val="20"/>
        <w:rPr>
          <w:rFonts w:ascii="微软雅黑" w:hAnsi="微软雅黑" w:eastAsia="微软雅黑"/>
          <w:b/>
        </w:rPr>
      </w:pPr>
    </w:p>
    <w:p>
      <w:pPr>
        <w:jc w:val="center"/>
      </w:pPr>
      <w:r>
        <w:drawing>
          <wp:inline distT="0" distB="0" distL="0" distR="0">
            <wp:extent cx="3533775" cy="1162050"/>
            <wp:effectExtent l="0" t="0" r="9525" b="0"/>
            <wp:docPr id="13" name="图片 13" descr="C:\Users\Joyce.Zou\AppData\Local\Microsoft\Windows\INetCache\Content.Word\m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Joyce.Zou\AppData\Local\Microsoft\Windows\INetCache\Content.Word\mt-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Modern</w:t>
      </w:r>
      <w:r>
        <w:rPr>
          <w:rFonts w:hint="eastAsia" w:ascii="微软雅黑" w:hAnsi="微软雅黑" w:eastAsia="微软雅黑"/>
        </w:rPr>
        <w:t>-twist采用纯粹医疗食品级硅胶材质，将天然元素与环保时尚概念相融合，为家庭生活带来一系列的产品，对人体与环境无害，所有产品不含有化学成分，铅，乳胶，铋化学物，</w:t>
      </w:r>
      <w:r>
        <w:rPr>
          <w:rFonts w:ascii="微软雅黑" w:hAnsi="微软雅黑" w:eastAsia="微软雅黑"/>
        </w:rPr>
        <w:t>100%</w:t>
      </w:r>
      <w:r>
        <w:rPr>
          <w:rFonts w:hint="eastAsia" w:ascii="微软雅黑" w:hAnsi="微软雅黑" w:eastAsia="微软雅黑"/>
        </w:rPr>
        <w:t>可回收和利用。</w:t>
      </w:r>
    </w:p>
    <w:p>
      <w:r>
        <w:rPr>
          <w:rFonts w:ascii="微软雅黑" w:hAnsi="微软雅黑" w:eastAsia="微软雅黑"/>
        </w:rPr>
        <w:t>modern twist</w:t>
      </w:r>
      <w:r>
        <w:rPr>
          <w:rFonts w:hint="eastAsia" w:ascii="微软雅黑" w:hAnsi="微软雅黑" w:eastAsia="微软雅黑"/>
        </w:rPr>
        <w:t>的产品激发美好生活，与独立艺术家一起合作，为产品带来独一无二的设计；</w:t>
      </w:r>
    </w:p>
    <w:p/>
    <w:p/>
    <w:p/>
    <w:p>
      <w:pPr>
        <w:jc w:val="center"/>
      </w:pPr>
      <w:r>
        <w:drawing>
          <wp:inline distT="0" distB="0" distL="0" distR="0">
            <wp:extent cx="5274310" cy="3515995"/>
            <wp:effectExtent l="0" t="0" r="2540" b="8255"/>
            <wp:docPr id="10" name="图片 10" descr="U:\Consumer Goods\ILC\16 pictures\ILC16展商\童真贸易\提交素材产品图片\场景图\modern_twist_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U:\Consumer Goods\ILC\16 pictures\ILC16展商\童真贸易\提交素材产品图片\场景图\modern_twist_0026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/>
    <w:p/>
    <w:p>
      <w:pPr>
        <w:jc w:val="center"/>
      </w:pPr>
      <w:r>
        <w:drawing>
          <wp:inline distT="0" distB="0" distL="0" distR="0">
            <wp:extent cx="3952875" cy="1733550"/>
            <wp:effectExtent l="0" t="0" r="9525" b="0"/>
            <wp:docPr id="14" name="图片 14" descr="C:\Users\Joyce.Zou\AppData\Local\Microsoft\Windows\INetCache\Content.Word\S'well Logo_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Joyce.Zou\AppData\Local\Microsoft\Windows\INetCache\Content.Word\S'well Logo_tm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S‘well </w:t>
      </w:r>
      <w:r>
        <w:rPr>
          <w:rFonts w:hint="eastAsia" w:ascii="微软雅黑" w:hAnsi="微软雅黑" w:eastAsia="微软雅黑"/>
        </w:rPr>
        <w:t>创立于2009年，创造独特的、高端的产品；随季节性色彩更替而精心设计的有型时尚不锈钢保温瓶。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24小时保冷，12小时保温，水瓶外壁不会出现任何冷凝情况。4款不同表面色彩处理工艺满足你的挑剔：哑光、石头感、亮光和闪耀。</w:t>
      </w:r>
      <w:r>
        <w:rPr>
          <w:rFonts w:ascii="微软雅黑" w:hAnsi="微软雅黑" w:eastAsia="微软雅黑"/>
        </w:rPr>
        <w:t>S‘well</w:t>
      </w:r>
      <w:r>
        <w:rPr>
          <w:rFonts w:hint="eastAsia" w:ascii="微软雅黑" w:hAnsi="微软雅黑" w:eastAsia="微软雅黑"/>
        </w:rPr>
        <w:t>专为您的有型时尚饮用而精心设计的不锈钢水瓶。</w:t>
      </w:r>
    </w:p>
    <w:p/>
    <w:p/>
    <w:p>
      <w:pPr>
        <w:jc w:val="center"/>
      </w:pPr>
      <w:r>
        <w:drawing>
          <wp:inline distT="0" distB="0" distL="0" distR="0">
            <wp:extent cx="5274310" cy="3644265"/>
            <wp:effectExtent l="0" t="0" r="2540" b="0"/>
            <wp:docPr id="15" name="图片 15" descr="U:\Consumer Goods\ILC\16 pictures\ILC16展商\童真贸易\提交素材产品图片\场景图\metallic_mirr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U:\Consumer Goods\ILC\16 pictures\ILC16展商\童真贸易\提交素材产品图片\场景图\metallic_mirrors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jc w:val="center"/>
      </w:pPr>
      <w:r>
        <w:drawing>
          <wp:inline distT="0" distB="0" distL="0" distR="0">
            <wp:extent cx="5274310" cy="18002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Lifefactory</w:t>
      </w:r>
      <w:r>
        <w:rPr>
          <w:rFonts w:hint="eastAsia" w:ascii="微软雅黑" w:hAnsi="微软雅黑" w:eastAsia="微软雅黑"/>
        </w:rPr>
        <w:t>提供了从婴儿到成人或“从摇篮到餐桌”的整个系列玻璃瓶、咖啡杯、酒杯、食品盒等产品。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近十年来，</w:t>
      </w:r>
      <w:r>
        <w:rPr>
          <w:rFonts w:ascii="微软雅黑" w:hAnsi="微软雅黑" w:eastAsia="微软雅黑"/>
        </w:rPr>
        <w:t>Lifefactory</w:t>
      </w:r>
      <w:r>
        <w:rPr>
          <w:rFonts w:hint="eastAsia" w:ascii="微软雅黑" w:hAnsi="微软雅黑" w:eastAsia="微软雅黑"/>
        </w:rPr>
        <w:t>一直专注于创造极具洞察力的设计，可靠能让消费者依赖的产品来满足每日生活状态。集品质与可持续使用材料为一体，</w:t>
      </w:r>
      <w:r>
        <w:rPr>
          <w:rFonts w:ascii="微软雅黑" w:hAnsi="微软雅黑" w:eastAsia="微软雅黑"/>
        </w:rPr>
        <w:t>Lifefactory</w:t>
      </w:r>
      <w:r>
        <w:rPr>
          <w:rFonts w:hint="eastAsia" w:ascii="微软雅黑" w:hAnsi="微软雅黑" w:eastAsia="微软雅黑"/>
        </w:rPr>
        <w:t>可陪伴一起走过人生百态。</w:t>
      </w:r>
    </w:p>
    <w:p/>
    <w:p>
      <w:pPr>
        <w:jc w:val="center"/>
      </w:pPr>
      <w:r>
        <w:drawing>
          <wp:inline distT="0" distB="0" distL="0" distR="0">
            <wp:extent cx="3067050" cy="4171950"/>
            <wp:effectExtent l="19050" t="0" r="0" b="0"/>
            <wp:docPr id="17" name="图片 17" descr="U:\Consumer Goods\ILC\16 pictures\ILC16展商\童真贸易\提交素材产品图片\场景图\LF_Brand_Book_2016_hir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U:\Consumer Goods\ILC\16 pictures\ILC16展商\童真贸易\提交素材产品图片\场景图\LF_Brand_Book_2016_hires-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555" cy="418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3400425" cy="1064895"/>
            <wp:effectExtent l="0" t="0" r="0" b="1905"/>
            <wp:docPr id="18" name="图片 18" descr="C:\Users\Joyce.Zou\AppData\Local\Microsoft\Windows\INetCache\Content.Word\Stashe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Joyce.Zou\AppData\Local\Microsoft\Windows\INetCache\Content.Word\Stasher_Logo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785" cy="10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stasher</w:t>
      </w:r>
      <w:r>
        <w:rPr>
          <w:rFonts w:hint="eastAsia" w:ascii="微软雅黑" w:hAnsi="微软雅黑" w:eastAsia="微软雅黑"/>
        </w:rPr>
        <w:t>是世界上第一个提出全新保鲜袋理念品牌！</w:t>
      </w:r>
      <w:r>
        <w:rPr>
          <w:rFonts w:ascii="微软雅黑" w:hAnsi="微软雅黑" w:eastAsia="微软雅黑"/>
        </w:rPr>
        <w:t>——</w:t>
      </w:r>
      <w:r>
        <w:rPr>
          <w:rFonts w:hint="eastAsia" w:ascii="微软雅黑" w:hAnsi="微软雅黑" w:eastAsia="微软雅黑"/>
        </w:rPr>
        <w:t>自封口、全密封、非塑料，铂金硅胶保鲜贮藏袋。</w:t>
      </w:r>
    </w:p>
    <w:p>
      <w:pPr>
        <w:tabs>
          <w:tab w:val="left" w:pos="720"/>
        </w:tabs>
      </w:pPr>
      <w:r>
        <w:rPr>
          <w:rFonts w:ascii="微软雅黑" w:hAnsi="微软雅黑" w:eastAsia="微软雅黑"/>
        </w:rPr>
        <w:t>安全纯粹</w:t>
      </w:r>
      <w:r>
        <w:rPr>
          <w:rFonts w:hint="eastAsia" w:ascii="微软雅黑" w:hAnsi="微软雅黑" w:eastAsia="微软雅黑"/>
        </w:rPr>
        <w:t>；</w:t>
      </w:r>
      <w:r>
        <w:rPr>
          <w:rFonts w:ascii="微软雅黑" w:hAnsi="微软雅黑" w:eastAsia="微软雅黑"/>
        </w:rPr>
        <w:t>方便实用</w:t>
      </w:r>
      <w:r>
        <w:rPr>
          <w:rFonts w:hint="eastAsia" w:ascii="微软雅黑" w:hAnsi="微软雅黑" w:eastAsia="微软雅黑"/>
        </w:rPr>
        <w:t>；</w:t>
      </w:r>
      <w:r>
        <w:rPr>
          <w:rFonts w:ascii="微软雅黑" w:hAnsi="微软雅黑" w:eastAsia="微软雅黑"/>
        </w:rPr>
        <w:t>优良耐温性</w:t>
      </w:r>
      <w:r>
        <w:rPr>
          <w:rFonts w:hint="eastAsia" w:ascii="微软雅黑" w:hAnsi="微软雅黑" w:eastAsia="微软雅黑"/>
        </w:rPr>
        <w:t>；清洗方便</w:t>
      </w:r>
      <w:r>
        <w:rPr>
          <w:rFonts w:hint="eastAsia"/>
        </w:rPr>
        <w:t>。</w:t>
      </w:r>
    </w:p>
    <w:p>
      <w:pPr>
        <w:tabs>
          <w:tab w:val="left" w:pos="720"/>
        </w:tabs>
      </w:pPr>
    </w:p>
    <w:p>
      <w:pPr>
        <w:jc w:val="center"/>
      </w:pPr>
      <w:r>
        <w:drawing>
          <wp:inline distT="0" distB="0" distL="0" distR="0">
            <wp:extent cx="5274310" cy="5274310"/>
            <wp:effectExtent l="0" t="0" r="2540" b="2540"/>
            <wp:docPr id="19" name="图片 19" descr="U:\Consumer Goods\ILC\16 pictures\ILC16展商\童真贸易\提交素材产品图片\场景图\MT_Stashers_Baby_143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U:\Consumer Goods\ILC\16 pictures\ILC16展商\童真贸易\提交素材产品图片\场景图\MT_Stashers_Baby_143-300dpi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rPr>
          <w:rFonts w:ascii="微软雅黑" w:hAnsi="微软雅黑" w:eastAsia="微软雅黑"/>
          <w:b/>
        </w:rPr>
      </w:pPr>
    </w:p>
    <w:p>
      <w:pPr>
        <w:pStyle w:val="20"/>
        <w:rPr>
          <w:rFonts w:ascii="微软雅黑" w:hAnsi="微软雅黑" w:eastAsia="微软雅黑"/>
          <w:b/>
        </w:rPr>
      </w:pPr>
    </w:p>
    <w:p>
      <w:pPr>
        <w:pStyle w:val="20"/>
        <w:jc w:val="center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4927600" cy="2628900"/>
            <wp:effectExtent l="19050" t="0" r="5876" b="0"/>
            <wp:docPr id="20" name="图片 20" descr="C:\Users\gule\Desktop\webwxgetmsg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gule\Desktop\webwxgetmsgimg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8074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3420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br w:type="page"/>
      </w:r>
    </w:p>
    <w:p>
      <w:pPr>
        <w:pStyle w:val="20"/>
        <w:jc w:val="center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2212340" cy="14490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245501" cy="147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Drink in the Box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是加拿大Precidio公司旗下的品牌。Drink in the Box诞生源于身为父母的团队对孩子的深切关心。更健康的孩子和更健康的地球是所有父母的渴求。Drink in the Box即肩负此使命迈出全新的一步。Drink in the Box是一个革命性的，拥有专利设计，可反复使用的健康饮品盒。</w:t>
      </w:r>
      <w:r>
        <w:rPr>
          <w:rFonts w:hint="eastAsia" w:ascii="微软雅黑" w:hAnsi="微软雅黑" w:eastAsia="微软雅黑"/>
          <w:bCs/>
        </w:rPr>
        <w:t>美国伊士曼Tritan™ 共聚聚酯材质，</w:t>
      </w:r>
      <w:r>
        <w:rPr>
          <w:rFonts w:hint="eastAsia" w:ascii="微软雅黑" w:hAnsi="微软雅黑" w:eastAsia="微软雅黑"/>
        </w:rPr>
        <w:t>确保安全性，绝不含化学成分，容易清洗，有儿童产品及成人产品两条产品线。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Drink in the Box</w:t>
      </w:r>
      <w:r>
        <w:rPr>
          <w:rFonts w:hint="eastAsia" w:ascii="微软雅黑" w:hAnsi="微软雅黑" w:eastAsia="微软雅黑"/>
        </w:rPr>
        <w:t>告诉我们：想一想杯子里是什么，开始喝得更好！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2017全新Drink in the Box Unique时尚饮品盒系列，是一个与众不同的饮品盒，追求个性，简单实用，定义饮品方式的新时尚！独特方形超薄设计，易于随身携带，背包、夹克口袋、汽车杯架都可轻松装下，是时尚，个性，轻便，环保之选！</w:t>
      </w:r>
    </w:p>
    <w:p>
      <w:pPr>
        <w:pStyle w:val="20"/>
        <w:jc w:val="center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4491990" cy="2955290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51" cy="295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br w:type="page"/>
      </w:r>
    </w:p>
    <w:p>
      <w:pPr>
        <w:pStyle w:val="20"/>
        <w:jc w:val="center"/>
        <w:rPr>
          <w:rFonts w:ascii="微软雅黑" w:hAnsi="微软雅黑" w:eastAsia="微软雅黑"/>
          <w:b/>
        </w:rPr>
      </w:pPr>
    </w:p>
    <w:p>
      <w:pPr>
        <w:jc w:val="center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</w:rPr>
        <w:drawing>
          <wp:inline distT="0" distB="0" distL="0" distR="0">
            <wp:extent cx="2047875" cy="12287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68" cy="123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</w:rPr>
        <w:t xml:space="preserve">  </w:t>
      </w:r>
      <w:r>
        <w:rPr>
          <w:rFonts w:hint="eastAsia" w:ascii="微软雅黑" w:hAnsi="微软雅黑" w:eastAsia="微软雅黑"/>
          <w:b/>
          <w:sz w:val="28"/>
          <w:szCs w:val="28"/>
        </w:rPr>
        <w:t xml:space="preserve"> 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E</w:t>
      </w:r>
      <w:r>
        <w:rPr>
          <w:rFonts w:hint="eastAsia" w:ascii="微软雅黑" w:hAnsi="微软雅黑" w:eastAsia="微软雅黑"/>
          <w:b/>
        </w:rPr>
        <w:t>zpz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在美国，“easy peasy”的意思是非常容易和简单，完美的描述了ezpz所提供的产品，“使孩子的就餐时间远离混乱！“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源自美国的ezpz， 一体式专利设计，可直接吸附餐桌上，不易被儿童打翻，解决大多数儿童就餐脏乱差问题；产品由安全的有机硅胶制成，通过美国FDA以及CPSIA认证，不含BPA/PVC/铅等。ezpz餐垫盘耐高温，可置于微波炉、洗碗机中使用，可方便的存放于餐柜与抽屉中，抗菌抗腐蚀，经久耐用，可陪伴儿童成长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Happy Mat一体式餐垫盘，具备三个食物隔断，妈妈们可自行将食物分区摆放；Happy Bowl的尺寸很合适放在儿童餐椅托盘上。Mini Mat的尺寸很适合放在儿童餐椅托盘上或我外出携带就餐。硅胶的特殊属性，使垫子与桌面可完美粘合，孩子的劲道使掀翻它成为了不可能的任务。</w:t>
      </w:r>
    </w:p>
    <w:p>
      <w:pPr>
        <w:jc w:val="center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3859530" cy="2561590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884660" cy="25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微软雅黑" w:hAnsi="微软雅黑" w:eastAsia="微软雅黑" w:cs="Helvetica"/>
          <w:szCs w:val="21"/>
        </w:rPr>
      </w:pPr>
      <w:r>
        <w:rPr>
          <w:rFonts w:ascii="微软雅黑" w:hAnsi="微软雅黑" w:eastAsia="微软雅黑" w:cs="Helvetica"/>
          <w:szCs w:val="21"/>
        </w:rPr>
        <w:br w:type="page"/>
      </w:r>
      <w:r>
        <w:drawing>
          <wp:inline distT="0" distB="0" distL="0" distR="0">
            <wp:extent cx="3484245" cy="1095375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495498" cy="109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line="420" w:lineRule="atLeast"/>
        <w:rPr>
          <w:rFonts w:ascii="微软雅黑" w:hAnsi="微软雅黑" w:eastAsia="微软雅黑" w:cs="Helvetica"/>
          <w:b/>
          <w:sz w:val="21"/>
          <w:szCs w:val="21"/>
        </w:rPr>
      </w:pPr>
      <w:r>
        <w:rPr>
          <w:rFonts w:hint="eastAsia" w:ascii="微软雅黑" w:hAnsi="微软雅黑" w:eastAsia="微软雅黑" w:cs="Helvetica"/>
          <w:b/>
          <w:sz w:val="21"/>
          <w:szCs w:val="21"/>
        </w:rPr>
        <w:t>smeg</w:t>
      </w:r>
    </w:p>
    <w:p>
      <w:pPr>
        <w:pStyle w:val="5"/>
        <w:shd w:val="clear" w:color="auto" w:fill="FFFFFF"/>
        <w:spacing w:line="420" w:lineRule="atLeast"/>
        <w:rPr>
          <w:rFonts w:ascii="微软雅黑" w:hAnsi="微软雅黑" w:eastAsia="微软雅黑" w:cs="Helvetica"/>
          <w:sz w:val="21"/>
          <w:szCs w:val="21"/>
        </w:rPr>
      </w:pPr>
      <w:r>
        <w:rPr>
          <w:rFonts w:hint="eastAsia" w:ascii="微软雅黑" w:hAnsi="微软雅黑" w:eastAsia="微软雅黑" w:cs="Helvetica"/>
          <w:sz w:val="21"/>
          <w:szCs w:val="21"/>
        </w:rPr>
        <w:t>意大利smeg公司成立于1948年，是世界上最大的专业厨房电器生产商之一。世界著名的设计大师Renzo Piano，Mario Bellini，Guido Canali及Marc</w:t>
      </w:r>
      <w:r>
        <w:rPr>
          <w:rFonts w:ascii="微软雅黑" w:hAnsi="微软雅黑" w:eastAsia="微软雅黑" w:cs="Helvetica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Helvetica"/>
          <w:sz w:val="21"/>
          <w:szCs w:val="21"/>
        </w:rPr>
        <w:t>Newson等设计大师设计的smeg产品，被认为具有超</w:t>
      </w:r>
    </w:p>
    <w:p>
      <w:pPr>
        <w:pStyle w:val="5"/>
        <w:shd w:val="clear" w:color="auto" w:fill="FFFFFF"/>
        <w:spacing w:before="0" w:beforeAutospacing="0" w:after="0" w:afterAutospacing="0" w:line="420" w:lineRule="atLeast"/>
        <w:rPr>
          <w:rFonts w:ascii="微软雅黑" w:hAnsi="微软雅黑" w:eastAsia="微软雅黑" w:cs="Helvetica"/>
          <w:sz w:val="21"/>
          <w:szCs w:val="21"/>
        </w:rPr>
      </w:pPr>
      <w:r>
        <w:rPr>
          <w:rFonts w:hint="eastAsia" w:ascii="微软雅黑" w:hAnsi="微软雅黑" w:eastAsia="微软雅黑" w:cs="Helvetica"/>
          <w:sz w:val="21"/>
          <w:szCs w:val="21"/>
        </w:rPr>
        <w:t>凡的实用性、耐用性和艺术性的统一。</w:t>
      </w:r>
    </w:p>
    <w:p>
      <w:pPr>
        <w:pStyle w:val="5"/>
        <w:shd w:val="clear" w:color="auto" w:fill="FFFFFF"/>
        <w:spacing w:before="0" w:beforeAutospacing="0" w:after="0" w:afterAutospacing="0" w:line="420" w:lineRule="atLeast"/>
        <w:rPr>
          <w:rFonts w:ascii="微软雅黑" w:hAnsi="微软雅黑" w:eastAsia="微软雅黑" w:cs="Helvetica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420" w:lineRule="atLeast"/>
        <w:rPr>
          <w:rFonts w:ascii="微软雅黑" w:hAnsi="微软雅黑" w:eastAsia="微软雅黑" w:cs="Helvetica"/>
          <w:sz w:val="21"/>
          <w:szCs w:val="21"/>
        </w:rPr>
      </w:pPr>
      <w:r>
        <w:drawing>
          <wp:inline distT="0" distB="0" distL="0" distR="0">
            <wp:extent cx="5455285" cy="362648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362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20" w:lineRule="atLeast"/>
        <w:rPr>
          <w:rFonts w:ascii="微软雅黑" w:hAnsi="微软雅黑" w:eastAsia="微软雅黑" w:cs="Helvetica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420" w:lineRule="atLeast"/>
        <w:rPr>
          <w:rFonts w:ascii="微软雅黑" w:hAnsi="微软雅黑" w:eastAsia="微软雅黑" w:cs="Helvetica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420" w:lineRule="atLeast"/>
        <w:jc w:val="center"/>
        <w:rPr>
          <w:rFonts w:ascii="微软雅黑" w:hAnsi="微软雅黑" w:eastAsia="微软雅黑" w:cs="Helvetica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420" w:lineRule="atLeast"/>
        <w:jc w:val="center"/>
        <w:rPr>
          <w:rFonts w:ascii="微软雅黑" w:hAnsi="微软雅黑" w:eastAsia="微软雅黑" w:cs="Helvetica"/>
          <w:sz w:val="21"/>
          <w:szCs w:val="21"/>
        </w:rPr>
      </w:pPr>
      <w:r>
        <w:rPr>
          <w:rFonts w:ascii="微软雅黑" w:hAnsi="微软雅黑" w:eastAsia="微软雅黑" w:cs="Helvetica"/>
          <w:sz w:val="21"/>
          <w:szCs w:val="21"/>
        </w:rPr>
        <w:drawing>
          <wp:inline distT="0" distB="0" distL="0" distR="0">
            <wp:extent cx="3543935" cy="600075"/>
            <wp:effectExtent l="0" t="0" r="0" b="0"/>
            <wp:docPr id="23" name="图片 23" descr="U:\Consumer Goods\ILC\17 picture\17参展商\欧美佳宴\Marketing Materials-欧美佳宴\blendtec\品牌logo\Blendtec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U:\Consumer Goods\ILC\17 picture\17参展商\欧美佳宴\Marketing Materials-欧美佳宴\blendtec\品牌logo\Blendtec-01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008" cy="6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20" w:lineRule="atLeast"/>
        <w:rPr>
          <w:rFonts w:ascii="微软雅黑" w:hAnsi="微软雅黑" w:eastAsia="微软雅黑" w:cs="Helvetica"/>
          <w:b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420" w:lineRule="atLeast"/>
        <w:rPr>
          <w:rFonts w:ascii="微软雅黑" w:hAnsi="微软雅黑" w:eastAsia="微软雅黑" w:cs="Helvetica"/>
          <w:b/>
          <w:sz w:val="21"/>
          <w:szCs w:val="21"/>
        </w:rPr>
      </w:pPr>
      <w:r>
        <w:rPr>
          <w:rFonts w:hint="eastAsia" w:ascii="微软雅黑" w:hAnsi="微软雅黑" w:eastAsia="微软雅黑" w:cs="Helvetica"/>
          <w:b/>
          <w:sz w:val="21"/>
          <w:szCs w:val="21"/>
        </w:rPr>
        <w:t>B</w:t>
      </w:r>
      <w:r>
        <w:rPr>
          <w:rFonts w:ascii="微软雅黑" w:hAnsi="微软雅黑" w:eastAsia="微软雅黑" w:cs="Helvetica"/>
          <w:b/>
          <w:sz w:val="21"/>
          <w:szCs w:val="21"/>
        </w:rPr>
        <w:t>lendtec</w:t>
      </w:r>
    </w:p>
    <w:p>
      <w:pPr>
        <w:pStyle w:val="5"/>
        <w:shd w:val="clear" w:color="auto" w:fill="FFFFFF"/>
        <w:spacing w:before="0" w:beforeAutospacing="0" w:after="0" w:afterAutospacing="0" w:line="420" w:lineRule="atLeast"/>
        <w:rPr>
          <w:rFonts w:ascii="微软雅黑" w:hAnsi="微软雅黑" w:eastAsia="微软雅黑" w:cs="Helvetica"/>
          <w:sz w:val="21"/>
          <w:szCs w:val="21"/>
        </w:rPr>
      </w:pPr>
      <w:r>
        <w:rPr>
          <w:rFonts w:hint="eastAsia" w:ascii="微软雅黑" w:hAnsi="微软雅黑" w:eastAsia="微软雅黑" w:cs="Helvetica"/>
          <w:sz w:val="21"/>
          <w:szCs w:val="21"/>
        </w:rPr>
        <w:t>来自</w:t>
      </w:r>
      <w:r>
        <w:rPr>
          <w:rFonts w:ascii="微软雅黑" w:hAnsi="微软雅黑" w:eastAsia="微软雅黑" w:cs="Helvetica"/>
          <w:sz w:val="21"/>
          <w:szCs w:val="21"/>
        </w:rPr>
        <w:t>美国的</w:t>
      </w:r>
      <w:r>
        <w:rPr>
          <w:rFonts w:hint="eastAsia" w:ascii="微软雅黑" w:hAnsi="微软雅黑" w:eastAsia="微软雅黑" w:cs="Helvetica"/>
          <w:sz w:val="21"/>
          <w:szCs w:val="21"/>
        </w:rPr>
        <w:t>B</w:t>
      </w:r>
      <w:r>
        <w:rPr>
          <w:rFonts w:ascii="微软雅黑" w:hAnsi="微软雅黑" w:eastAsia="微软雅黑" w:cs="Helvetica"/>
          <w:sz w:val="21"/>
          <w:szCs w:val="21"/>
        </w:rPr>
        <w:t>lendtec</w:t>
      </w:r>
      <w:r>
        <w:rPr>
          <w:rFonts w:hint="eastAsia" w:ascii="微软雅黑" w:hAnsi="微软雅黑" w:eastAsia="微软雅黑" w:cs="Helvetica"/>
          <w:sz w:val="21"/>
          <w:szCs w:val="21"/>
        </w:rPr>
        <w:t>破壁机在世界</w:t>
      </w:r>
      <w:r>
        <w:rPr>
          <w:rFonts w:ascii="微软雅黑" w:hAnsi="微软雅黑" w:eastAsia="微软雅黑" w:cs="Helvetica"/>
          <w:sz w:val="21"/>
          <w:szCs w:val="21"/>
        </w:rPr>
        <w:t>各地的</w:t>
      </w:r>
      <w:r>
        <w:rPr>
          <w:rFonts w:hint="eastAsia" w:ascii="微软雅黑" w:hAnsi="微软雅黑" w:eastAsia="微软雅黑" w:cs="Helvetica"/>
          <w:sz w:val="21"/>
          <w:szCs w:val="21"/>
        </w:rPr>
        <w:t>家庭</w:t>
      </w:r>
      <w:r>
        <w:rPr>
          <w:rFonts w:ascii="微软雅黑" w:hAnsi="微软雅黑" w:eastAsia="微软雅黑" w:cs="Helvetica"/>
          <w:sz w:val="21"/>
          <w:szCs w:val="21"/>
        </w:rPr>
        <w:t>和</w:t>
      </w:r>
      <w:r>
        <w:rPr>
          <w:rFonts w:hint="eastAsia" w:ascii="微软雅黑" w:hAnsi="微软雅黑" w:eastAsia="微软雅黑" w:cs="Helvetica"/>
          <w:sz w:val="21"/>
          <w:szCs w:val="21"/>
        </w:rPr>
        <w:t>商业</w:t>
      </w:r>
      <w:r>
        <w:rPr>
          <w:rFonts w:ascii="微软雅黑" w:hAnsi="微软雅黑" w:eastAsia="微软雅黑" w:cs="Helvetica"/>
          <w:sz w:val="21"/>
          <w:szCs w:val="21"/>
        </w:rPr>
        <w:t>客户中，</w:t>
      </w:r>
      <w:r>
        <w:rPr>
          <w:rFonts w:hint="eastAsia" w:ascii="微软雅黑" w:hAnsi="微软雅黑" w:eastAsia="微软雅黑" w:cs="Helvetica"/>
          <w:sz w:val="21"/>
          <w:szCs w:val="21"/>
        </w:rPr>
        <w:t>Blendtec不断</w:t>
      </w:r>
      <w:r>
        <w:rPr>
          <w:rFonts w:ascii="微软雅黑" w:hAnsi="微软雅黑" w:eastAsia="微软雅黑" w:cs="Helvetica"/>
          <w:sz w:val="21"/>
          <w:szCs w:val="21"/>
        </w:rPr>
        <w:t>推出</w:t>
      </w:r>
      <w:r>
        <w:rPr>
          <w:rFonts w:hint="eastAsia" w:ascii="微软雅黑" w:hAnsi="微软雅黑" w:eastAsia="微软雅黑" w:cs="Helvetica"/>
          <w:sz w:val="21"/>
          <w:szCs w:val="21"/>
        </w:rPr>
        <w:t>新产品，</w:t>
      </w:r>
      <w:r>
        <w:rPr>
          <w:rFonts w:ascii="微软雅黑" w:hAnsi="微软雅黑" w:eastAsia="微软雅黑" w:cs="Helvetica"/>
          <w:sz w:val="21"/>
          <w:szCs w:val="21"/>
        </w:rPr>
        <w:t>改进</w:t>
      </w:r>
      <w:r>
        <w:rPr>
          <w:rFonts w:hint="eastAsia" w:ascii="微软雅黑" w:hAnsi="微软雅黑" w:eastAsia="微软雅黑" w:cs="Helvetica"/>
          <w:sz w:val="21"/>
          <w:szCs w:val="21"/>
        </w:rPr>
        <w:t>现有</w:t>
      </w:r>
      <w:r>
        <w:rPr>
          <w:rFonts w:ascii="微软雅黑" w:hAnsi="微软雅黑" w:eastAsia="微软雅黑" w:cs="Helvetica"/>
          <w:sz w:val="21"/>
          <w:szCs w:val="21"/>
        </w:rPr>
        <w:t>的技术</w:t>
      </w:r>
      <w:r>
        <w:rPr>
          <w:rFonts w:hint="eastAsia" w:ascii="微软雅黑" w:hAnsi="微软雅黑" w:eastAsia="微软雅黑" w:cs="Helvetica"/>
          <w:sz w:val="21"/>
          <w:szCs w:val="21"/>
        </w:rPr>
        <w:t>，</w:t>
      </w:r>
      <w:r>
        <w:rPr>
          <w:rFonts w:ascii="微软雅黑" w:hAnsi="微软雅黑" w:eastAsia="微软雅黑" w:cs="Helvetica"/>
          <w:sz w:val="21"/>
          <w:szCs w:val="21"/>
        </w:rPr>
        <w:t>以及</w:t>
      </w:r>
      <w:r>
        <w:rPr>
          <w:rFonts w:hint="eastAsia" w:ascii="微软雅黑" w:hAnsi="微软雅黑" w:eastAsia="微软雅黑" w:cs="Helvetica"/>
          <w:sz w:val="21"/>
          <w:szCs w:val="21"/>
        </w:rPr>
        <w:t>比以往更快</w:t>
      </w:r>
      <w:r>
        <w:rPr>
          <w:rFonts w:ascii="微软雅黑" w:hAnsi="微软雅黑" w:eastAsia="微软雅黑" w:cs="Helvetica"/>
          <w:sz w:val="21"/>
          <w:szCs w:val="21"/>
        </w:rPr>
        <w:t>的</w:t>
      </w:r>
      <w:r>
        <w:rPr>
          <w:rFonts w:hint="eastAsia" w:ascii="微软雅黑" w:hAnsi="微软雅黑" w:eastAsia="微软雅黑" w:cs="Helvetica"/>
          <w:sz w:val="21"/>
          <w:szCs w:val="21"/>
        </w:rPr>
        <w:t>速度</w:t>
      </w:r>
      <w:r>
        <w:rPr>
          <w:rFonts w:ascii="微软雅黑" w:hAnsi="微软雅黑" w:eastAsia="微软雅黑" w:cs="Helvetica"/>
          <w:sz w:val="21"/>
          <w:szCs w:val="21"/>
        </w:rPr>
        <w:t>开拓搅拌</w:t>
      </w:r>
      <w:r>
        <w:rPr>
          <w:rFonts w:hint="eastAsia" w:ascii="微软雅黑" w:hAnsi="微软雅黑" w:eastAsia="微软雅黑" w:cs="Helvetica"/>
          <w:sz w:val="21"/>
          <w:szCs w:val="21"/>
        </w:rPr>
        <w:t>技术</w:t>
      </w:r>
      <w:r>
        <w:rPr>
          <w:rFonts w:ascii="微软雅黑" w:hAnsi="微软雅黑" w:eastAsia="微软雅黑" w:cs="Helvetica"/>
          <w:sz w:val="21"/>
          <w:szCs w:val="21"/>
        </w:rPr>
        <w:t>。</w:t>
      </w:r>
      <w:r>
        <w:rPr>
          <w:rFonts w:hint="eastAsia" w:ascii="微软雅黑" w:hAnsi="微软雅黑" w:eastAsia="微软雅黑" w:cs="Helvetica"/>
          <w:sz w:val="21"/>
          <w:szCs w:val="21"/>
        </w:rPr>
        <w:t>B</w:t>
      </w:r>
      <w:r>
        <w:rPr>
          <w:rFonts w:ascii="微软雅黑" w:hAnsi="微软雅黑" w:eastAsia="微软雅黑" w:cs="Helvetica"/>
          <w:sz w:val="21"/>
          <w:szCs w:val="21"/>
        </w:rPr>
        <w:t>lendtec</w:t>
      </w:r>
      <w:r>
        <w:rPr>
          <w:rFonts w:hint="eastAsia" w:ascii="微软雅黑" w:hAnsi="微软雅黑" w:eastAsia="微软雅黑" w:cs="Helvetica"/>
          <w:sz w:val="21"/>
          <w:szCs w:val="21"/>
        </w:rPr>
        <w:t>的</w:t>
      </w:r>
      <w:r>
        <w:rPr>
          <w:rFonts w:ascii="微软雅黑" w:hAnsi="微软雅黑" w:eastAsia="微软雅黑" w:cs="Helvetica"/>
          <w:sz w:val="21"/>
          <w:szCs w:val="21"/>
        </w:rPr>
        <w:t>力量</w:t>
      </w:r>
      <w:r>
        <w:rPr>
          <w:rFonts w:hint="eastAsia" w:ascii="微软雅黑" w:hAnsi="微软雅黑" w:eastAsia="微软雅黑" w:cs="Helvetica"/>
          <w:sz w:val="21"/>
          <w:szCs w:val="21"/>
        </w:rPr>
        <w:t>远超产品领域。</w:t>
      </w:r>
      <w:r>
        <w:rPr>
          <w:rFonts w:ascii="微软雅黑" w:hAnsi="微软雅黑" w:eastAsia="微软雅黑" w:cs="Helvetica"/>
          <w:sz w:val="21"/>
          <w:szCs w:val="21"/>
        </w:rPr>
        <w:t>通过世界上</w:t>
      </w:r>
      <w:r>
        <w:rPr>
          <w:rFonts w:hint="eastAsia" w:ascii="微软雅黑" w:hAnsi="微软雅黑" w:eastAsia="微软雅黑" w:cs="Helvetica"/>
          <w:sz w:val="21"/>
          <w:szCs w:val="21"/>
        </w:rPr>
        <w:t>最先进</w:t>
      </w:r>
      <w:r>
        <w:rPr>
          <w:rFonts w:ascii="微软雅黑" w:hAnsi="微软雅黑" w:eastAsia="微软雅黑" w:cs="Helvetica"/>
          <w:sz w:val="21"/>
          <w:szCs w:val="21"/>
        </w:rPr>
        <w:t>的搅拌</w:t>
      </w:r>
      <w:r>
        <w:rPr>
          <w:rFonts w:hint="eastAsia" w:ascii="微软雅黑" w:hAnsi="微软雅黑" w:eastAsia="微软雅黑" w:cs="Helvetica"/>
          <w:sz w:val="21"/>
          <w:szCs w:val="21"/>
        </w:rPr>
        <w:t>器</w:t>
      </w:r>
      <w:r>
        <w:rPr>
          <w:rFonts w:ascii="微软雅黑" w:hAnsi="微软雅黑" w:eastAsia="微软雅黑" w:cs="Helvetica"/>
          <w:sz w:val="21"/>
          <w:szCs w:val="21"/>
        </w:rPr>
        <w:t>，</w:t>
      </w:r>
      <w:r>
        <w:rPr>
          <w:rFonts w:hint="eastAsia" w:ascii="微软雅黑" w:hAnsi="微软雅黑" w:eastAsia="微软雅黑" w:cs="Helvetica"/>
          <w:sz w:val="21"/>
          <w:szCs w:val="21"/>
        </w:rPr>
        <w:t>不仅在</w:t>
      </w:r>
      <w:r>
        <w:rPr>
          <w:rFonts w:ascii="微软雅黑" w:hAnsi="微软雅黑" w:eastAsia="微软雅黑" w:cs="Helvetica"/>
          <w:sz w:val="21"/>
          <w:szCs w:val="21"/>
        </w:rPr>
        <w:t>改变</w:t>
      </w:r>
      <w:r>
        <w:rPr>
          <w:rFonts w:hint="eastAsia" w:ascii="微软雅黑" w:hAnsi="微软雅黑" w:eastAsia="微软雅黑" w:cs="Helvetica"/>
          <w:sz w:val="21"/>
          <w:szCs w:val="21"/>
        </w:rPr>
        <w:t>业界</w:t>
      </w:r>
      <w:r>
        <w:rPr>
          <w:rFonts w:ascii="微软雅黑" w:hAnsi="微软雅黑" w:eastAsia="微软雅黑" w:cs="Helvetica"/>
          <w:sz w:val="21"/>
          <w:szCs w:val="21"/>
        </w:rPr>
        <w:t>，也在</w:t>
      </w:r>
      <w:r>
        <w:rPr>
          <w:rFonts w:hint="eastAsia" w:ascii="微软雅黑" w:hAnsi="微软雅黑" w:eastAsia="微软雅黑" w:cs="Helvetica"/>
          <w:sz w:val="21"/>
          <w:szCs w:val="21"/>
        </w:rPr>
        <w:t>改变</w:t>
      </w:r>
      <w:r>
        <w:rPr>
          <w:rFonts w:ascii="微软雅黑" w:hAnsi="微软雅黑" w:eastAsia="微软雅黑" w:cs="Helvetica"/>
          <w:sz w:val="21"/>
          <w:szCs w:val="21"/>
        </w:rPr>
        <w:t>生活</w:t>
      </w:r>
    </w:p>
    <w:p>
      <w:pPr>
        <w:pStyle w:val="5"/>
        <w:shd w:val="clear" w:color="auto" w:fill="FFFFFF"/>
        <w:spacing w:before="0" w:beforeAutospacing="0" w:after="0" w:afterAutospacing="0" w:line="420" w:lineRule="atLeast"/>
        <w:rPr>
          <w:rFonts w:ascii="微软雅黑" w:hAnsi="微软雅黑" w:eastAsia="微软雅黑" w:cs="Helvetica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420" w:lineRule="atLeast"/>
        <w:jc w:val="center"/>
        <w:rPr>
          <w:rFonts w:ascii="微软雅黑" w:hAnsi="微软雅黑" w:eastAsia="微软雅黑" w:cs="Helvetica"/>
          <w:sz w:val="21"/>
          <w:szCs w:val="21"/>
        </w:rPr>
      </w:pPr>
      <w:r>
        <w:drawing>
          <wp:inline distT="0" distB="0" distL="0" distR="0">
            <wp:extent cx="5054600" cy="351028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54842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Helvetica"/>
          <w:kern w:val="0"/>
          <w:szCs w:val="21"/>
        </w:rPr>
      </w:pPr>
      <w:r>
        <w:rPr>
          <w:rFonts w:ascii="微软雅黑" w:hAnsi="微软雅黑" w:eastAsia="微软雅黑" w:cs="Helvetica"/>
          <w:szCs w:val="21"/>
        </w:rPr>
        <w:br w:type="page"/>
      </w:r>
    </w:p>
    <w:p>
      <w:pPr>
        <w:pStyle w:val="22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sz w:val="21"/>
          <w:szCs w:val="21"/>
        </w:rPr>
      </w:pPr>
    </w:p>
    <w:p>
      <w:pPr>
        <w:pStyle w:val="22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 w:cs="Helvetica"/>
          <w:sz w:val="21"/>
          <w:szCs w:val="21"/>
        </w:rPr>
      </w:pPr>
      <w:r>
        <w:drawing>
          <wp:inline distT="0" distB="0" distL="0" distR="0">
            <wp:extent cx="2114550" cy="7429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sz w:val="21"/>
          <w:szCs w:val="21"/>
        </w:rPr>
      </w:pPr>
    </w:p>
    <w:p>
      <w:pPr>
        <w:pStyle w:val="22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b/>
          <w:sz w:val="21"/>
          <w:szCs w:val="21"/>
        </w:rPr>
      </w:pPr>
      <w:r>
        <w:rPr>
          <w:rFonts w:hint="eastAsia" w:ascii="微软雅黑" w:hAnsi="微软雅黑" w:eastAsia="微软雅黑" w:cs="Helvetica"/>
          <w:b/>
          <w:sz w:val="21"/>
          <w:szCs w:val="21"/>
        </w:rPr>
        <w:t>NewTime 新岱</w:t>
      </w:r>
    </w:p>
    <w:p>
      <w:pPr>
        <w:pStyle w:val="22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sz w:val="21"/>
          <w:szCs w:val="21"/>
        </w:rPr>
      </w:pPr>
      <w:r>
        <w:rPr>
          <w:rFonts w:hint="eastAsia" w:ascii="微软雅黑" w:hAnsi="微软雅黑" w:eastAsia="微软雅黑" w:cs="Helvetica"/>
          <w:sz w:val="21"/>
          <w:szCs w:val="21"/>
        </w:rPr>
        <w:t>公司</w:t>
      </w:r>
      <w:r>
        <w:rPr>
          <w:rFonts w:ascii="微软雅黑" w:hAnsi="微软雅黑" w:eastAsia="微软雅黑" w:cs="Helvetica"/>
          <w:sz w:val="21"/>
          <w:szCs w:val="21"/>
        </w:rPr>
        <w:t>2006</w:t>
      </w:r>
      <w:r>
        <w:rPr>
          <w:rFonts w:hint="eastAsia" w:ascii="微软雅黑" w:hAnsi="微软雅黑" w:eastAsia="微软雅黑" w:cs="Helvetica"/>
          <w:sz w:val="21"/>
          <w:szCs w:val="21"/>
        </w:rPr>
        <w:t>年创立于苏州，十余年来在进口手工艺、设计文创、家居用品等高端品牌代理领域点滴耕耘。目前已积累日本、台湾及欧洲等地区过百品牌以及匠人资源，致力于打造文化交流的平台。</w:t>
      </w:r>
    </w:p>
    <w:p>
      <w:pPr>
        <w:pStyle w:val="22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sz w:val="21"/>
          <w:szCs w:val="21"/>
        </w:rPr>
      </w:pPr>
      <w:r>
        <w:rPr>
          <w:rFonts w:hint="eastAsia" w:ascii="微软雅黑" w:hAnsi="微软雅黑" w:eastAsia="微软雅黑" w:cs="Helvetica"/>
          <w:sz w:val="21"/>
          <w:szCs w:val="21"/>
        </w:rPr>
        <w:t>从最初的品牌代理、贸易业务，通过延续传统工艺，融合满足现代审美的设计，来迎合现代生活方式的转变。从「单纯意义的商业」层面认知到「文化与商业」接轨的重要性，让新岱逐渐转型成为设计文创与手工海外品牌的孵化平台，并形成专业选品、品牌塑造、营销推广、活动策划等多元化业务构成模式。</w:t>
      </w:r>
    </w:p>
    <w:p>
      <w:pPr>
        <w:pStyle w:val="22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sz w:val="21"/>
          <w:szCs w:val="21"/>
        </w:rPr>
      </w:pPr>
    </w:p>
    <w:p>
      <w:pPr>
        <w:pStyle w:val="22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 w:cs="Helvetica"/>
          <w:sz w:val="21"/>
          <w:szCs w:val="21"/>
        </w:rPr>
      </w:pPr>
      <w:r>
        <w:drawing>
          <wp:inline distT="0" distB="0" distL="0" distR="0">
            <wp:extent cx="5065395" cy="3305175"/>
            <wp:effectExtent l="19050" t="0" r="185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69033" cy="33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长城小标宋体">
    <w:altName w:val="宋体"/>
    <w:panose1 w:val="0201060901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 W6">
    <w:altName w:val="黑体"/>
    <w:panose1 w:val="00000000000000000000"/>
    <w:charset w:val="80"/>
    <w:family w:val="swiss"/>
    <w:pitch w:val="default"/>
    <w:sig w:usb0="00000000" w:usb1="00000000" w:usb2="00000016" w:usb3="00000000" w:csb0="00060007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黑体">
    <w:panose1 w:val="02010600030101010101"/>
    <w:charset w:val="80"/>
    <w:family w:val="swiss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sz w:val="13"/>
        <w:szCs w:val="13"/>
      </w:rP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3</w:t>
    </w:r>
    <w:r>
      <w:rPr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wordWrap w:val="0"/>
      <w:snapToGrid w:val="0"/>
      <w:jc w:val="right"/>
      <w:rPr>
        <w:sz w:val="13"/>
        <w:szCs w:val="13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52B3"/>
    <w:rsid w:val="00011A66"/>
    <w:rsid w:val="00052C0D"/>
    <w:rsid w:val="00053790"/>
    <w:rsid w:val="0006533B"/>
    <w:rsid w:val="00073D0E"/>
    <w:rsid w:val="000B32D9"/>
    <w:rsid w:val="000B78EB"/>
    <w:rsid w:val="000D7874"/>
    <w:rsid w:val="000F72FE"/>
    <w:rsid w:val="001049AD"/>
    <w:rsid w:val="001220DF"/>
    <w:rsid w:val="00126349"/>
    <w:rsid w:val="00131BF9"/>
    <w:rsid w:val="0013598B"/>
    <w:rsid w:val="00142FA1"/>
    <w:rsid w:val="00151830"/>
    <w:rsid w:val="001803F3"/>
    <w:rsid w:val="00181CC1"/>
    <w:rsid w:val="0019664A"/>
    <w:rsid w:val="001A3C40"/>
    <w:rsid w:val="001C3630"/>
    <w:rsid w:val="001F770B"/>
    <w:rsid w:val="00201278"/>
    <w:rsid w:val="00212829"/>
    <w:rsid w:val="00215CC6"/>
    <w:rsid w:val="00227C99"/>
    <w:rsid w:val="00236BE1"/>
    <w:rsid w:val="00245766"/>
    <w:rsid w:val="00263E73"/>
    <w:rsid w:val="00264B35"/>
    <w:rsid w:val="00273607"/>
    <w:rsid w:val="00275E4D"/>
    <w:rsid w:val="00276A7F"/>
    <w:rsid w:val="002A22E0"/>
    <w:rsid w:val="002B666F"/>
    <w:rsid w:val="002B73BF"/>
    <w:rsid w:val="002E36AA"/>
    <w:rsid w:val="00325C94"/>
    <w:rsid w:val="00354633"/>
    <w:rsid w:val="0036108A"/>
    <w:rsid w:val="00366E8B"/>
    <w:rsid w:val="003A680B"/>
    <w:rsid w:val="003D19AE"/>
    <w:rsid w:val="003D51A7"/>
    <w:rsid w:val="003E4BFA"/>
    <w:rsid w:val="00415484"/>
    <w:rsid w:val="00424186"/>
    <w:rsid w:val="004468DB"/>
    <w:rsid w:val="00450E34"/>
    <w:rsid w:val="00493A94"/>
    <w:rsid w:val="004A3A91"/>
    <w:rsid w:val="004A7A03"/>
    <w:rsid w:val="004C0B5B"/>
    <w:rsid w:val="004E5C1F"/>
    <w:rsid w:val="004F59F8"/>
    <w:rsid w:val="00512EC5"/>
    <w:rsid w:val="00561601"/>
    <w:rsid w:val="005758B0"/>
    <w:rsid w:val="00585485"/>
    <w:rsid w:val="005905F0"/>
    <w:rsid w:val="00593C59"/>
    <w:rsid w:val="005A17A3"/>
    <w:rsid w:val="005B446D"/>
    <w:rsid w:val="005C4291"/>
    <w:rsid w:val="005E02A4"/>
    <w:rsid w:val="005E5BDD"/>
    <w:rsid w:val="00604203"/>
    <w:rsid w:val="00607FDC"/>
    <w:rsid w:val="00631B26"/>
    <w:rsid w:val="0066515E"/>
    <w:rsid w:val="0068510C"/>
    <w:rsid w:val="006C7A1E"/>
    <w:rsid w:val="006E7161"/>
    <w:rsid w:val="006E7272"/>
    <w:rsid w:val="006F18AC"/>
    <w:rsid w:val="006F5D75"/>
    <w:rsid w:val="00705855"/>
    <w:rsid w:val="00721D20"/>
    <w:rsid w:val="00770309"/>
    <w:rsid w:val="00770478"/>
    <w:rsid w:val="0078120E"/>
    <w:rsid w:val="007A72ED"/>
    <w:rsid w:val="007D1BA5"/>
    <w:rsid w:val="0080156C"/>
    <w:rsid w:val="008039B5"/>
    <w:rsid w:val="00834AB6"/>
    <w:rsid w:val="00842DD1"/>
    <w:rsid w:val="00852B6B"/>
    <w:rsid w:val="00863B47"/>
    <w:rsid w:val="00874E81"/>
    <w:rsid w:val="00881CEB"/>
    <w:rsid w:val="008A2657"/>
    <w:rsid w:val="008A6112"/>
    <w:rsid w:val="008B718E"/>
    <w:rsid w:val="008E2E13"/>
    <w:rsid w:val="008F121A"/>
    <w:rsid w:val="008F1C69"/>
    <w:rsid w:val="00904A02"/>
    <w:rsid w:val="00930744"/>
    <w:rsid w:val="00957F38"/>
    <w:rsid w:val="0096556F"/>
    <w:rsid w:val="0098682F"/>
    <w:rsid w:val="009B3AFB"/>
    <w:rsid w:val="009F2047"/>
    <w:rsid w:val="00A33BC0"/>
    <w:rsid w:val="00A36FA9"/>
    <w:rsid w:val="00A62B8A"/>
    <w:rsid w:val="00A70A22"/>
    <w:rsid w:val="00A85CDF"/>
    <w:rsid w:val="00A91826"/>
    <w:rsid w:val="00A972A6"/>
    <w:rsid w:val="00A97471"/>
    <w:rsid w:val="00B049C2"/>
    <w:rsid w:val="00B15334"/>
    <w:rsid w:val="00B233A7"/>
    <w:rsid w:val="00B450AA"/>
    <w:rsid w:val="00B746D6"/>
    <w:rsid w:val="00B8162A"/>
    <w:rsid w:val="00BA0C0E"/>
    <w:rsid w:val="00BA1E84"/>
    <w:rsid w:val="00BB197B"/>
    <w:rsid w:val="00BB1B60"/>
    <w:rsid w:val="00BB58E6"/>
    <w:rsid w:val="00BE471C"/>
    <w:rsid w:val="00BF37B0"/>
    <w:rsid w:val="00BF7043"/>
    <w:rsid w:val="00BF7D9A"/>
    <w:rsid w:val="00C033CB"/>
    <w:rsid w:val="00C06A24"/>
    <w:rsid w:val="00C13C1E"/>
    <w:rsid w:val="00C3203F"/>
    <w:rsid w:val="00C331FD"/>
    <w:rsid w:val="00C37462"/>
    <w:rsid w:val="00C67D5D"/>
    <w:rsid w:val="00C85111"/>
    <w:rsid w:val="00C92910"/>
    <w:rsid w:val="00C93C60"/>
    <w:rsid w:val="00CA2699"/>
    <w:rsid w:val="00CB4115"/>
    <w:rsid w:val="00CC444E"/>
    <w:rsid w:val="00CE25B5"/>
    <w:rsid w:val="00D1607D"/>
    <w:rsid w:val="00D166F8"/>
    <w:rsid w:val="00D317B9"/>
    <w:rsid w:val="00D352B3"/>
    <w:rsid w:val="00D5690A"/>
    <w:rsid w:val="00DC5190"/>
    <w:rsid w:val="00DD17CC"/>
    <w:rsid w:val="00DD30F7"/>
    <w:rsid w:val="00DF4372"/>
    <w:rsid w:val="00E2010A"/>
    <w:rsid w:val="00E25312"/>
    <w:rsid w:val="00E324FF"/>
    <w:rsid w:val="00E422EE"/>
    <w:rsid w:val="00E538E3"/>
    <w:rsid w:val="00E60C5D"/>
    <w:rsid w:val="00E6271D"/>
    <w:rsid w:val="00E65FC2"/>
    <w:rsid w:val="00E85659"/>
    <w:rsid w:val="00E95649"/>
    <w:rsid w:val="00EA21BF"/>
    <w:rsid w:val="00EA23DF"/>
    <w:rsid w:val="00EC13D7"/>
    <w:rsid w:val="00ED72E5"/>
    <w:rsid w:val="00EF056F"/>
    <w:rsid w:val="00EF6E2A"/>
    <w:rsid w:val="00F0453D"/>
    <w:rsid w:val="00F40B3B"/>
    <w:rsid w:val="00F429E1"/>
    <w:rsid w:val="00F639F7"/>
    <w:rsid w:val="00FA3B61"/>
    <w:rsid w:val="00FC6F1A"/>
    <w:rsid w:val="00FF10C3"/>
    <w:rsid w:val="034F0AFF"/>
    <w:rsid w:val="583A3644"/>
    <w:rsid w:val="7B82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unhideWhenUsed/>
    <w:uiPriority w:val="99"/>
    <w:rPr>
      <w:sz w:val="18"/>
      <w:szCs w:val="18"/>
    </w:rPr>
  </w:style>
  <w:style w:type="paragraph" w:styleId="3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6">
    <w:name w:val="Title"/>
    <w:basedOn w:val="1"/>
    <w:link w:val="18"/>
    <w:qFormat/>
    <w:uiPriority w:val="0"/>
    <w:pPr>
      <w:jc w:val="center"/>
    </w:pPr>
    <w:rPr>
      <w:rFonts w:ascii="PMingLiU" w:hAnsi="Century" w:eastAsia="PMingLiU"/>
      <w:b/>
      <w:sz w:val="28"/>
      <w:szCs w:val="20"/>
      <w:lang w:eastAsia="ja-JP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unhideWhenUsed/>
    <w:uiPriority w:val="99"/>
    <w:rPr>
      <w:color w:val="136EC2"/>
      <w:u w:val="single"/>
    </w:rPr>
  </w:style>
  <w:style w:type="table" w:styleId="11">
    <w:name w:val="Table Grid"/>
    <w:basedOn w:val="10"/>
    <w:unhideWhenUsed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customStyle="1" w:styleId="14">
    <w:name w:val="Char"/>
    <w:basedOn w:val="1"/>
    <w:uiPriority w:val="0"/>
    <w:pPr>
      <w:tabs>
        <w:tab w:val="left" w:pos="4665"/>
        <w:tab w:val="left" w:pos="8970"/>
      </w:tabs>
      <w:ind w:firstLine="400"/>
    </w:pPr>
    <w:rPr>
      <w:rFonts w:ascii="Tahoma" w:hAnsi="Tahoma"/>
      <w:sz w:val="24"/>
      <w:szCs w:val="20"/>
    </w:rPr>
  </w:style>
  <w:style w:type="character" w:customStyle="1" w:styleId="15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6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7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8">
    <w:name w:val="标题 Char"/>
    <w:basedOn w:val="7"/>
    <w:link w:val="6"/>
    <w:qFormat/>
    <w:uiPriority w:val="0"/>
    <w:rPr>
      <w:rFonts w:ascii="PMingLiU" w:hAnsi="Century" w:eastAsia="PMingLiU"/>
      <w:b/>
      <w:kern w:val="2"/>
      <w:sz w:val="28"/>
      <w:lang w:eastAsia="ja-JP"/>
    </w:rPr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paragraph" w:styleId="20">
    <w:name w:val="No Spacing"/>
    <w:basedOn w:val="1"/>
    <w:link w:val="21"/>
    <w:qFormat/>
    <w:uiPriority w:val="1"/>
    <w:rPr>
      <w:rFonts w:asciiTheme="minorHAnsi" w:hAnsiTheme="minorHAnsi" w:eastAsiaTheme="minorEastAsia" w:cstheme="minorBidi"/>
    </w:rPr>
  </w:style>
  <w:style w:type="character" w:customStyle="1" w:styleId="21">
    <w:name w:val="无间隔 Char"/>
    <w:basedOn w:val="7"/>
    <w:link w:val="20"/>
    <w:qFormat/>
    <w:uiPriority w:val="1"/>
    <w:rPr>
      <w:rFonts w:asciiTheme="minorHAnsi" w:hAnsiTheme="minorHAnsi" w:eastAsiaTheme="minorEastAsia" w:cstheme="minorBidi"/>
      <w:kern w:val="2"/>
      <w:sz w:val="21"/>
      <w:szCs w:val="22"/>
    </w:rPr>
  </w:style>
  <w:style w:type="paragraph" w:customStyle="1" w:styleId="22">
    <w:name w:val="p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CDRBA</Company>
  <Pages>15</Pages>
  <Words>475</Words>
  <Characters>2713</Characters>
  <Lines>22</Lines>
  <Paragraphs>6</Paragraphs>
  <TotalTime>0</TotalTime>
  <ScaleCrop>false</ScaleCrop>
  <LinksUpToDate>false</LinksUpToDate>
  <CharactersWithSpaces>3182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2016-04-21T04:55:00Z</dcterms:created>
  <dc:creator>jimmybai(FH-白智勇)</dc:creator>
  <cp:lastModifiedBy>Administrator</cp:lastModifiedBy>
  <cp:lastPrinted>2014-08-19T03:08:00Z</cp:lastPrinted>
  <dcterms:modified xsi:type="dcterms:W3CDTF">2018-06-19T08:47:41Z</dcterms:modified>
  <dc:title>新闻稿</dc:title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